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eskom holdingsSOC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name of supplier/vendor /and other raticulars</w:t>
            </w:r>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A Party may change its domicilium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lastRenderedPageBreak/>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lastRenderedPageBreak/>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CC2C7" w14:textId="77777777" w:rsidR="004856ED" w:rsidRDefault="004856ED" w:rsidP="00201A98">
      <w:pPr>
        <w:spacing w:after="0" w:line="240" w:lineRule="auto"/>
      </w:pPr>
      <w:r>
        <w:separator/>
      </w:r>
    </w:p>
  </w:endnote>
  <w:endnote w:type="continuationSeparator" w:id="0">
    <w:p w14:paraId="2EE239C4" w14:textId="77777777" w:rsidR="004856ED" w:rsidRDefault="004856E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65E1A" w14:textId="77777777" w:rsidR="004856ED" w:rsidRDefault="004856ED" w:rsidP="00201A98">
      <w:pPr>
        <w:spacing w:after="0" w:line="240" w:lineRule="auto"/>
      </w:pPr>
      <w:r>
        <w:separator/>
      </w:r>
    </w:p>
  </w:footnote>
  <w:footnote w:type="continuationSeparator" w:id="0">
    <w:p w14:paraId="1D8F6D64" w14:textId="77777777" w:rsidR="004856ED" w:rsidRDefault="004856E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5901256"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268DE">
      <w:trPr>
        <w:cantSplit/>
        <w:trHeight w:hRule="exact" w:val="637"/>
        <w:jc w:val="center"/>
      </w:trPr>
      <w:tc>
        <w:tcPr>
          <w:tcW w:w="6091" w:type="dxa"/>
          <w:gridSpan w:val="2"/>
          <w:vAlign w:val="bottom"/>
        </w:tcPr>
        <w:p w14:paraId="5D408625" w14:textId="6960B33E" w:rsidR="00870839" w:rsidRPr="00D268DE" w:rsidRDefault="00870839" w:rsidP="00EA1B3D">
          <w:pPr>
            <w:jc w:val="center"/>
            <w:rPr>
              <w:rFonts w:ascii="Arial" w:hAnsi="Arial" w:cs="Arial"/>
              <w:b/>
              <w:sz w:val="20"/>
              <w:szCs w:val="20"/>
              <w:lang w:val="en-GB"/>
            </w:rPr>
          </w:pPr>
          <w:r w:rsidRPr="00D268DE">
            <w:rPr>
              <w:rFonts w:ascii="Arial" w:hAnsi="Arial" w:cs="Arial"/>
              <w:b/>
              <w:sz w:val="20"/>
              <w:szCs w:val="20"/>
              <w:lang w:val="en-GB"/>
            </w:rPr>
            <w:t>Project</w:t>
          </w:r>
          <w:r w:rsidR="0072571C" w:rsidRPr="00D268DE">
            <w:rPr>
              <w:rFonts w:ascii="Arial" w:hAnsi="Arial" w:cs="Arial"/>
              <w:b/>
              <w:sz w:val="20"/>
              <w:szCs w:val="20"/>
              <w:lang w:val="en-GB"/>
            </w:rPr>
            <w:t xml:space="preserve">/Transaction </w:t>
          </w:r>
          <w:r w:rsidRPr="00D268DE">
            <w:rPr>
              <w:rFonts w:ascii="Arial" w:hAnsi="Arial" w:cs="Arial"/>
              <w:b/>
              <w:sz w:val="20"/>
              <w:szCs w:val="20"/>
              <w:lang w:val="en-GB"/>
            </w:rPr>
            <w:t>Title</w:t>
          </w:r>
        </w:p>
      </w:tc>
      <w:tc>
        <w:tcPr>
          <w:tcW w:w="4677" w:type="dxa"/>
          <w:gridSpan w:val="4"/>
          <w:shd w:val="clear" w:color="auto" w:fill="auto"/>
          <w:vAlign w:val="center"/>
        </w:tcPr>
        <w:p w14:paraId="0F6713E2" w14:textId="7FDDE19A" w:rsidR="00870839" w:rsidRPr="00D268DE" w:rsidRDefault="00D268DE" w:rsidP="00D268DE">
          <w:pPr>
            <w:spacing w:after="0"/>
            <w:rPr>
              <w:rFonts w:ascii="Arial" w:hAnsi="Arial" w:cs="Arial"/>
              <w:b/>
              <w:sz w:val="20"/>
              <w:szCs w:val="20"/>
            </w:rPr>
          </w:pPr>
          <w:r w:rsidRPr="00D268DE">
            <w:rPr>
              <w:rFonts w:ascii="Arial" w:hAnsi="Arial" w:cs="Arial"/>
              <w:b/>
              <w:sz w:val="20"/>
              <w:szCs w:val="20"/>
            </w:rPr>
            <w:t>The Once-off Supply, Delivery and Training for</w:t>
          </w:r>
          <w:r w:rsidRPr="00D268DE">
            <w:rPr>
              <w:rFonts w:ascii="Arial" w:hAnsi="Arial" w:cs="Arial"/>
              <w:b/>
              <w:sz w:val="20"/>
              <w:szCs w:val="20"/>
            </w:rPr>
            <w:t xml:space="preserve"> </w:t>
          </w:r>
          <w:r w:rsidRPr="00D268DE">
            <w:rPr>
              <w:rFonts w:ascii="Arial" w:hAnsi="Arial" w:cs="Arial"/>
              <w:b/>
              <w:sz w:val="20"/>
              <w:szCs w:val="20"/>
            </w:rPr>
            <w:t>the Secondary Injection Test Set.</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30B88"/>
    <w:rsid w:val="004508F9"/>
    <w:rsid w:val="00457274"/>
    <w:rsid w:val="00460577"/>
    <w:rsid w:val="004856ED"/>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8D15C1"/>
    <w:rsid w:val="0093552D"/>
    <w:rsid w:val="00947FF5"/>
    <w:rsid w:val="0099382B"/>
    <w:rsid w:val="009A12FD"/>
    <w:rsid w:val="009E4402"/>
    <w:rsid w:val="009F5E36"/>
    <w:rsid w:val="00A22EF4"/>
    <w:rsid w:val="00A550AD"/>
    <w:rsid w:val="00A67C16"/>
    <w:rsid w:val="00A72491"/>
    <w:rsid w:val="00A76642"/>
    <w:rsid w:val="00A92D53"/>
    <w:rsid w:val="00AA3261"/>
    <w:rsid w:val="00B71023"/>
    <w:rsid w:val="00BA3A4A"/>
    <w:rsid w:val="00BA5C88"/>
    <w:rsid w:val="00BB029A"/>
    <w:rsid w:val="00BE6D5F"/>
    <w:rsid w:val="00C40E58"/>
    <w:rsid w:val="00C72E5D"/>
    <w:rsid w:val="00C8088F"/>
    <w:rsid w:val="00CA666C"/>
    <w:rsid w:val="00D04FDE"/>
    <w:rsid w:val="00D268DE"/>
    <w:rsid w:val="00DB22F3"/>
    <w:rsid w:val="00DB5F1C"/>
    <w:rsid w:val="00DC46FC"/>
    <w:rsid w:val="00DD46AD"/>
    <w:rsid w:val="00E34693"/>
    <w:rsid w:val="00E775B4"/>
    <w:rsid w:val="00E90B24"/>
    <w:rsid w:val="00EA1B3D"/>
    <w:rsid w:val="00EA21D2"/>
    <w:rsid w:val="00EA684B"/>
    <w:rsid w:val="00EB6DC4"/>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Laura September</cp:lastModifiedBy>
  <cp:revision>2</cp:revision>
  <dcterms:created xsi:type="dcterms:W3CDTF">2025-08-05T10:12:00Z</dcterms:created>
  <dcterms:modified xsi:type="dcterms:W3CDTF">2025-08-05T10:12:00Z</dcterms:modified>
</cp:coreProperties>
</file>